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638A5">
      <w:pPr>
        <w:jc w:val="center"/>
        <w:rPr>
          <w:rFonts w:hint="eastAsia" w:ascii="黑体" w:hAnsi="黑体" w:eastAsia="黑体" w:cs="黑体"/>
          <w:sz w:val="36"/>
          <w:szCs w:val="44"/>
        </w:rPr>
      </w:pPr>
      <w:r>
        <w:rPr>
          <w:rFonts w:hint="eastAsia" w:ascii="黑体" w:hAnsi="黑体" w:eastAsia="黑体" w:cs="黑体"/>
          <w:sz w:val="36"/>
          <w:szCs w:val="44"/>
          <w:lang w:val="en-US" w:eastAsia="zh-CN"/>
        </w:rPr>
        <w:t>CSP</w:t>
      </w:r>
      <w:r>
        <w:rPr>
          <w:rFonts w:hint="eastAsia" w:ascii="黑体" w:hAnsi="黑体" w:eastAsia="黑体" w:cs="黑体"/>
          <w:sz w:val="36"/>
          <w:szCs w:val="44"/>
        </w:rPr>
        <w:t>中远海运港口网上自助平台操作指引</w:t>
      </w:r>
    </w:p>
    <w:p w14:paraId="7AA2A252">
      <w:pPr>
        <w:jc w:val="center"/>
        <w:rPr>
          <w:rFonts w:hint="eastAsia" w:ascii="黑体" w:hAnsi="黑体" w:eastAsia="黑体" w:cs="黑体"/>
          <w:sz w:val="36"/>
          <w:szCs w:val="44"/>
        </w:rPr>
      </w:pPr>
      <w:r>
        <w:rPr>
          <w:rFonts w:hint="eastAsia" w:ascii="黑体" w:hAnsi="黑体" w:eastAsia="黑体" w:cs="黑体"/>
          <w:sz w:val="36"/>
          <w:szCs w:val="44"/>
        </w:rPr>
        <w:t>（厦门远海码头）</w:t>
      </w:r>
    </w:p>
    <w:p w14:paraId="4E1D8E7B">
      <w:pPr>
        <w:jc w:val="left"/>
        <w:rPr>
          <w:rFonts w:hint="default" w:eastAsiaTheme="minorEastAsia"/>
          <w:b/>
          <w:bCs/>
          <w:color w:val="0000FF"/>
          <w:sz w:val="28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28"/>
          <w:szCs w:val="36"/>
          <w:lang w:val="en-US" w:eastAsia="zh-CN"/>
        </w:rPr>
        <w:t>温馨提示：请阅读完本操作指引再进行相关操作，以免导致不必要的问题，谢谢！</w:t>
      </w:r>
    </w:p>
    <w:p w14:paraId="574060E0">
      <w:pPr>
        <w:jc w:val="left"/>
        <w:rPr>
          <w:rFonts w:hint="eastAsia"/>
          <w:sz w:val="28"/>
          <w:szCs w:val="36"/>
        </w:rPr>
      </w:pPr>
    </w:p>
    <w:p w14:paraId="3FF06036">
      <w:pPr>
        <w:jc w:val="left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一、新客户注册</w:t>
      </w:r>
    </w:p>
    <w:p w14:paraId="2920C99F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1、打开CSP中远海运港口网上自助平台（以下简称“平台”）官方网站（https://cssp.ports.coscoshipping.com/）</w:t>
      </w:r>
    </w:p>
    <w:p w14:paraId="58AC55FC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点击“注册”，在弹窗中录入相关信息、上传营业执照等附件，注册信息需实名填写，请确保录入信息准确、完整。</w:t>
      </w:r>
    </w:p>
    <w:p w14:paraId="0F3AEA9D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2、推荐运行浏览器：Windows自带浏览器EDGE，如果界面显示异常，请尝试更换浏览器。</w:t>
      </w:r>
    </w:p>
    <w:p w14:paraId="3BA5E044">
      <w:pPr>
        <w:jc w:val="left"/>
        <w:rPr>
          <w:rFonts w:hint="default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3、截止2026年4月前的协议客户请扫描查</w:t>
      </w:r>
      <w:bookmarkStart w:id="0" w:name="_GoBack"/>
      <w:bookmarkEnd w:id="0"/>
      <w:r>
        <w:rPr>
          <w:rFonts w:hint="eastAsia"/>
          <w:color w:val="0000FF"/>
          <w:sz w:val="28"/>
          <w:szCs w:val="36"/>
          <w:lang w:val="en-US" w:eastAsia="zh-CN"/>
        </w:rPr>
        <w:t>询账号和密码，2026年5月之后新增的协议客户请按流程注册。</w:t>
      </w:r>
    </w:p>
    <w:p w14:paraId="6702ACDA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2533015" cy="3785235"/>
            <wp:effectExtent l="0" t="0" r="635" b="5715"/>
            <wp:docPr id="6" name="图片 6" descr="ac6b83e395fd923860a2c30afb3fb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c6b83e395fd923860a2c30afb3fb3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2996D">
      <w:pPr>
        <w:jc w:val="left"/>
        <w:rPr>
          <w:rFonts w:hint="eastAsia"/>
          <w:sz w:val="28"/>
          <w:szCs w:val="36"/>
          <w:lang w:val="en-US" w:eastAsia="zh-CN"/>
        </w:rPr>
      </w:pPr>
    </w:p>
    <w:p w14:paraId="27F67A00">
      <w:pPr>
        <w:jc w:val="left"/>
        <w:rPr>
          <w:rFonts w:hint="default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2、“非协议客户”选项说明</w:t>
      </w:r>
    </w:p>
    <w:p w14:paraId="0DF98AC1">
      <w:pPr>
        <w:jc w:val="left"/>
        <w:rPr>
          <w:rFonts w:hint="eastAsia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（1）无协议公司请选择“是”，仅能按提单号或箱号进行“通用查询”。</w:t>
      </w:r>
    </w:p>
    <w:p w14:paraId="20E718E8">
      <w:pPr>
        <w:jc w:val="left"/>
        <w:rPr>
          <w:rFonts w:hint="eastAsia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（2）有协议公司请选择“否”，可以批量查询本公司付费的账单。</w:t>
      </w:r>
    </w:p>
    <w:p w14:paraId="7A0EB22F">
      <w:pPr>
        <w:numPr>
          <w:ilvl w:val="0"/>
          <w:numId w:val="0"/>
        </w:numPr>
        <w:jc w:val="left"/>
        <w:rPr>
          <w:rFonts w:hint="default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3、账号审核及生效</w:t>
      </w:r>
    </w:p>
    <w:p w14:paraId="3369D05F">
      <w:pPr>
        <w:widowControl w:val="0"/>
        <w:numPr>
          <w:ilvl w:val="0"/>
          <w:numId w:val="0"/>
        </w:numPr>
        <w:jc w:val="left"/>
        <w:rPr>
          <w:rFonts w:hint="eastAsia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（1）“非协议客户”选择“是”的账号创建后直接生效，无需码头人员审核。</w:t>
      </w:r>
    </w:p>
    <w:p w14:paraId="0E39226D">
      <w:pPr>
        <w:numPr>
          <w:ilvl w:val="0"/>
          <w:numId w:val="0"/>
        </w:numPr>
        <w:jc w:val="left"/>
        <w:rPr>
          <w:rFonts w:hint="eastAsia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（2）“非协议客户”选择“否”的账号须码头平台管理人员进行审核，配置内部客户代码，审核通过后该客户登录账号生效。</w:t>
      </w:r>
    </w:p>
    <w:p w14:paraId="76DA8CA2">
      <w:pPr>
        <w:numPr>
          <w:ilvl w:val="0"/>
          <w:numId w:val="0"/>
        </w:numPr>
        <w:jc w:val="left"/>
        <w:rPr>
          <w:rFonts w:hint="eastAsia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（3）当前未与码头签署协议的公司（如货主、货代），请勿选错！以免导致不必要的问题。</w:t>
      </w:r>
    </w:p>
    <w:p w14:paraId="2786EFA8">
      <w:pPr>
        <w:numPr>
          <w:ilvl w:val="0"/>
          <w:numId w:val="0"/>
        </w:numPr>
        <w:jc w:val="left"/>
        <w:rPr>
          <w:rFonts w:hint="default"/>
          <w:color w:val="0000FF"/>
          <w:sz w:val="28"/>
          <w:szCs w:val="36"/>
          <w:lang w:val="en-US" w:eastAsia="zh-CN"/>
        </w:rPr>
      </w:pPr>
      <w:r>
        <w:rPr>
          <w:rFonts w:hint="default"/>
          <w:color w:val="0000FF"/>
          <w:sz w:val="28"/>
          <w:szCs w:val="36"/>
          <w:lang w:val="en-US" w:eastAsia="zh-CN"/>
        </w:rPr>
        <w:drawing>
          <wp:inline distT="0" distB="0" distL="114300" distR="114300">
            <wp:extent cx="5273040" cy="3657600"/>
            <wp:effectExtent l="0" t="0" r="3810" b="0"/>
            <wp:docPr id="2" name="图片 2" descr="69819332-8576-47c4-8426-82972df11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9819332-8576-47c4-8426-82972df112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8459E"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4、账号的设置</w:t>
      </w:r>
    </w:p>
    <w:p w14:paraId="59648A4D"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（1）已有账号的客户不可重复注册。</w:t>
      </w:r>
    </w:p>
    <w:p w14:paraId="6F0E7581"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（2）同一个公司账号如需申请相互分离的子账号，请联系码头平台管理人员进行评估。</w:t>
      </w:r>
    </w:p>
    <w:p w14:paraId="4E8094D0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（3）登录账号及密码仅作登录本平台使用，须客户自定义并保管。注册时如果登录账号与现有账号重复，请客户自行调整。</w:t>
      </w:r>
    </w:p>
    <w:p w14:paraId="0BE62FCC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（4）登录账号不影响码头其他系统的设置（如箱公司代码等）。</w:t>
      </w:r>
    </w:p>
    <w:p w14:paraId="5A1AE2A7">
      <w:pPr>
        <w:jc w:val="both"/>
        <w:rPr>
          <w:rFonts w:hint="eastAsia" w:eastAsiaTheme="minorEastAsia"/>
          <w:sz w:val="28"/>
          <w:szCs w:val="36"/>
          <w:lang w:eastAsia="zh-CN"/>
        </w:rPr>
      </w:pPr>
    </w:p>
    <w:p w14:paraId="11DAE5F4">
      <w:pPr>
        <w:widowControl w:val="0"/>
        <w:numPr>
          <w:ilvl w:val="0"/>
          <w:numId w:val="0"/>
        </w:numPr>
        <w:jc w:val="left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二、客户资料配置与更新</w:t>
      </w:r>
    </w:p>
    <w:p w14:paraId="32519A1F">
      <w:pPr>
        <w:widowControl w:val="0"/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1、客户注册完成后，核对客户资料配置。如填写有误或客户资料（如营业执照、注册资本等信息）更新的，须及时更正。</w:t>
      </w:r>
    </w:p>
    <w:p w14:paraId="29177FD2">
      <w:pPr>
        <w:widowControl w:val="0"/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2、平台申请人变动的，须及时登录变更信息（如手机号、邮箱等）及附件。如未更新，将影响账号密码找回功能。</w:t>
      </w:r>
    </w:p>
    <w:p w14:paraId="1AFEE23A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3、请确保客户资料真实、有效，以免影响密码变更等功能。如发现账号资料不真实或已失效的，账号将可能被冻结。</w:t>
      </w:r>
    </w:p>
    <w:p w14:paraId="45A43BE1">
      <w:pPr>
        <w:jc w:val="left"/>
        <w:rPr>
          <w:rFonts w:hint="default"/>
          <w:sz w:val="28"/>
          <w:szCs w:val="36"/>
          <w:lang w:val="en-US" w:eastAsia="zh-CN"/>
        </w:rPr>
      </w:pPr>
    </w:p>
    <w:p w14:paraId="6A5BD8C5">
      <w:pPr>
        <w:jc w:val="left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三、账户锁定</w:t>
      </w:r>
    </w:p>
    <w:p w14:paraId="64620D37">
      <w:pPr>
        <w:jc w:val="left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1、连续6个月未登录的客户，平台自动锁定。</w:t>
      </w:r>
    </w:p>
    <w:p w14:paraId="4F5F5E4E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2、如需继续使用，联系平台管理人员进行解锁。</w:t>
      </w:r>
    </w:p>
    <w:p w14:paraId="1E38E363">
      <w:pPr>
        <w:jc w:val="left"/>
        <w:rPr>
          <w:rFonts w:hint="eastAsia"/>
          <w:sz w:val="28"/>
          <w:szCs w:val="36"/>
          <w:lang w:val="en-US" w:eastAsia="zh-CN"/>
        </w:rPr>
      </w:pPr>
    </w:p>
    <w:p w14:paraId="260D0F5E">
      <w:pPr>
        <w:jc w:val="left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四、密码修改及密码找回</w:t>
      </w:r>
    </w:p>
    <w:p w14:paraId="60C54642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1、密码修改：登录后，点击右上角客户名称图标，点击“账户设置”，在“修改密码”页面填写。</w:t>
      </w:r>
    </w:p>
    <w:p w14:paraId="28A38D5F"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drawing>
          <wp:inline distT="0" distB="0" distL="114300" distR="114300">
            <wp:extent cx="4014470" cy="1259205"/>
            <wp:effectExtent l="0" t="0" r="5080" b="7620"/>
            <wp:docPr id="4" name="图片 4" descr="ee150be0-93db-4851-a9b4-4f8c079506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e150be0-93db-4851-a9b4-4f8c079506c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447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B5F3D"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2、账户登录密码遗失的，可点击首页“密码找回”。（若客户资料未配置手机号或邮箱的，则无法找回密码）。</w:t>
      </w:r>
    </w:p>
    <w:p w14:paraId="0B3378AF"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3、密码设置要求：密码</w:t>
      </w:r>
      <w:r>
        <w:rPr>
          <w:rFonts w:hint="default"/>
          <w:sz w:val="28"/>
          <w:szCs w:val="36"/>
          <w:lang w:val="en-US" w:eastAsia="zh-CN"/>
        </w:rPr>
        <w:t>需为大小写字母、数字、符号三种及以上的混用组合，且不少于8位。</w:t>
      </w:r>
      <w:r>
        <w:rPr>
          <w:rFonts w:hint="eastAsia"/>
          <w:sz w:val="28"/>
          <w:szCs w:val="36"/>
          <w:lang w:val="en-US" w:eastAsia="zh-CN"/>
        </w:rPr>
        <w:t>建议</w:t>
      </w:r>
      <w:r>
        <w:rPr>
          <w:rFonts w:hint="default"/>
          <w:sz w:val="28"/>
          <w:szCs w:val="36"/>
          <w:lang w:val="en-US" w:eastAsia="zh-CN"/>
        </w:rPr>
        <w:t>密码中不要使用包括姓名拼音或缩写、公司名、本人生日、电话号码、键盘顺序等组合。</w:t>
      </w:r>
    </w:p>
    <w:p w14:paraId="53FC6D9E"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</w:p>
    <w:p w14:paraId="7E860D49">
      <w:pPr>
        <w:numPr>
          <w:ilvl w:val="0"/>
          <w:numId w:val="1"/>
        </w:numPr>
        <w:jc w:val="left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功能说明</w:t>
      </w:r>
    </w:p>
    <w:p w14:paraId="72D1E423">
      <w:pPr>
        <w:widowControl w:val="0"/>
        <w:numPr>
          <w:ilvl w:val="0"/>
          <w:numId w:val="0"/>
        </w:numPr>
        <w:jc w:val="left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drawing>
          <wp:inline distT="0" distB="0" distL="114300" distR="114300">
            <wp:extent cx="5258435" cy="1696720"/>
            <wp:effectExtent l="0" t="0" r="8890" b="8255"/>
            <wp:docPr id="1" name="图片 1" descr="2e279000-db0d-46f6-8749-919d3d661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e279000-db0d-46f6-8749-919d3d66167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33E9A">
      <w:pPr>
        <w:jc w:val="left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1、费用查询（货方）</w:t>
      </w:r>
    </w:p>
    <w:p w14:paraId="1D3A54FF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（1）查询范围：仅能查询当前登录的客户为系统付费人的账单。</w:t>
      </w:r>
    </w:p>
    <w:p w14:paraId="35B3030E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（2）根据客户填写时间段、船名航次、提单箱号等信息，进行查询。</w:t>
      </w:r>
    </w:p>
    <w:p w14:paraId="2FA69CF1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（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  <w:lang w:eastAsia="zh-CN"/>
        </w:rPr>
        <w:t>）</w:t>
      </w:r>
      <w:r>
        <w:rPr>
          <w:rFonts w:hint="eastAsia"/>
          <w:sz w:val="28"/>
          <w:szCs w:val="36"/>
          <w:lang w:val="en-US" w:eastAsia="zh-CN"/>
        </w:rPr>
        <w:t>如需导出表格，点击右上方“导出”按钮。</w:t>
      </w:r>
    </w:p>
    <w:p w14:paraId="36A7A491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（4）如果选中某一条或几条数据，该行数据显示为“蓝底”。导出时则只能导出选中的数据。</w:t>
      </w:r>
    </w:p>
    <w:p w14:paraId="21FBEFD2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（5）要导出全部数据，须先取消选择（全选再取消）。</w:t>
      </w:r>
    </w:p>
    <w:p w14:paraId="514574D1">
      <w:pPr>
        <w:jc w:val="left"/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drawing>
          <wp:inline distT="0" distB="0" distL="114300" distR="114300">
            <wp:extent cx="5265420" cy="2973070"/>
            <wp:effectExtent l="0" t="0" r="1905" b="8255"/>
            <wp:docPr id="5" name="图片 5" descr="c527f309-0967-493d-98c0-b7fcf8663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527f309-0967-493d-98c0-b7fcf86633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BC73E">
      <w:pPr>
        <w:jc w:val="left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2、通用费用查询</w:t>
      </w:r>
    </w:p>
    <w:p w14:paraId="324611F5">
      <w:pPr>
        <w:jc w:val="left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（</w:t>
      </w:r>
      <w:r>
        <w:rPr>
          <w:rFonts w:hint="eastAsia"/>
          <w:sz w:val="28"/>
          <w:szCs w:val="36"/>
          <w:lang w:val="en-US" w:eastAsia="zh-CN"/>
        </w:rPr>
        <w:t>1</w:t>
      </w:r>
      <w:r>
        <w:rPr>
          <w:rFonts w:hint="eastAsia"/>
          <w:sz w:val="28"/>
          <w:szCs w:val="36"/>
          <w:lang w:eastAsia="zh-CN"/>
        </w:rPr>
        <w:t>）</w:t>
      </w:r>
      <w:r>
        <w:rPr>
          <w:rFonts w:hint="eastAsia"/>
          <w:sz w:val="28"/>
          <w:szCs w:val="36"/>
          <w:lang w:val="en-US" w:eastAsia="zh-CN"/>
        </w:rPr>
        <w:t>查询范围：已计费账单（含预估账单）。如遇差异，请以最终结算金额为准。</w:t>
      </w:r>
    </w:p>
    <w:p w14:paraId="70610D29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（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  <w:lang w:eastAsia="zh-CN"/>
        </w:rPr>
        <w:t>）</w:t>
      </w:r>
      <w:r>
        <w:rPr>
          <w:rFonts w:hint="eastAsia"/>
          <w:sz w:val="28"/>
          <w:szCs w:val="36"/>
          <w:lang w:val="en-US" w:eastAsia="zh-CN"/>
        </w:rPr>
        <w:t>如需导出表格，点击右上方“导出”按钮。</w:t>
      </w:r>
    </w:p>
    <w:p w14:paraId="24B1F581"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（3）如果选中某一条或几条数据，该行数据显示为“蓝底”。导出时则只能导出选中的数据。</w:t>
      </w:r>
    </w:p>
    <w:p w14:paraId="5DA80595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（4）要导出全部数据，须先取消选择（全选再取消）。</w:t>
      </w:r>
    </w:p>
    <w:p w14:paraId="62867CED">
      <w:pPr>
        <w:jc w:val="left"/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drawing>
          <wp:inline distT="0" distB="0" distL="114300" distR="114300">
            <wp:extent cx="5260975" cy="2934970"/>
            <wp:effectExtent l="0" t="0" r="6350" b="8255"/>
            <wp:docPr id="7" name="图片 7" descr="90cc3eaa-6f06-4ecb-8b66-8292d27ce8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0cc3eaa-6f06-4ecb-8b66-8292d27ce83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48F6A">
      <w:pPr>
        <w:jc w:val="left"/>
        <w:rPr>
          <w:rFonts w:hint="eastAsia" w:eastAsiaTheme="minorEastAsia"/>
          <w:sz w:val="28"/>
          <w:szCs w:val="36"/>
          <w:lang w:eastAsia="zh-CN"/>
        </w:rPr>
      </w:pPr>
    </w:p>
    <w:p w14:paraId="5DFEEE7A">
      <w:pPr>
        <w:jc w:val="left"/>
        <w:rPr>
          <w:rFonts w:hint="eastAsia" w:eastAsiaTheme="minorEastAsia"/>
          <w:sz w:val="28"/>
          <w:szCs w:val="36"/>
          <w:lang w:eastAsia="zh-CN"/>
        </w:rPr>
      </w:pPr>
    </w:p>
    <w:p w14:paraId="3D586326">
      <w:pPr>
        <w:jc w:val="left"/>
        <w:rPr>
          <w:rFonts w:hint="eastAsia" w:eastAsiaTheme="minorEastAsia"/>
          <w:sz w:val="28"/>
          <w:szCs w:val="36"/>
          <w:lang w:eastAsia="zh-CN"/>
        </w:rPr>
      </w:pPr>
    </w:p>
    <w:p w14:paraId="2F9A7B96">
      <w:pPr>
        <w:jc w:val="left"/>
        <w:rPr>
          <w:rFonts w:hint="eastAsia"/>
          <w:sz w:val="28"/>
          <w:szCs w:val="36"/>
        </w:rPr>
      </w:pPr>
    </w:p>
    <w:p w14:paraId="40D95385">
      <w:pPr>
        <w:jc w:val="left"/>
        <w:rPr>
          <w:rFonts w:hint="eastAsia"/>
          <w:sz w:val="28"/>
          <w:szCs w:val="36"/>
        </w:rPr>
      </w:pPr>
    </w:p>
    <w:p w14:paraId="08BA693E">
      <w:pPr>
        <w:jc w:val="left"/>
        <w:rPr>
          <w:rFonts w:hint="eastAsia"/>
          <w:sz w:val="28"/>
          <w:szCs w:val="36"/>
        </w:rPr>
      </w:pPr>
    </w:p>
    <w:p w14:paraId="594CDA99">
      <w:pPr>
        <w:jc w:val="center"/>
        <w:rPr>
          <w:rFonts w:hint="eastAsia"/>
          <w:sz w:val="32"/>
          <w:szCs w:val="40"/>
        </w:rPr>
      </w:pPr>
    </w:p>
    <w:p w14:paraId="068B0D0A">
      <w:pPr>
        <w:jc w:val="center"/>
        <w:rPr>
          <w:rFonts w:hint="eastAsia"/>
          <w:sz w:val="32"/>
          <w:szCs w:val="40"/>
        </w:rPr>
      </w:pPr>
    </w:p>
    <w:sectPr>
      <w:pgSz w:w="11906" w:h="16838"/>
      <w:pgMar w:top="600" w:right="1800" w:bottom="8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624AB3"/>
    <w:multiLevelType w:val="singleLevel"/>
    <w:tmpl w:val="1B624AB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71FC6"/>
    <w:rsid w:val="0DEF1570"/>
    <w:rsid w:val="139A604C"/>
    <w:rsid w:val="1526428C"/>
    <w:rsid w:val="1C6F7ABD"/>
    <w:rsid w:val="204226A9"/>
    <w:rsid w:val="25044F73"/>
    <w:rsid w:val="2DFD7C8D"/>
    <w:rsid w:val="3A9E342E"/>
    <w:rsid w:val="5201749C"/>
    <w:rsid w:val="54E13952"/>
    <w:rsid w:val="605C3C3F"/>
    <w:rsid w:val="62983B4B"/>
    <w:rsid w:val="6B684A43"/>
    <w:rsid w:val="7EB6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66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2026-05-26T09:50:00Z</dcterms:created>
  <dc:creator>福来德</dc:creator>
  <cp:lastModifiedBy>福来德</cp:lastModifiedBy>
  <dcterms:modified xsi:type="dcterms:W3CDTF">2026-06-11T02:28:38Z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C66C0DA173B54634A0D1D3E05A6C833A_12</vt:lpwstr>
  </property>
</Properties>
</file>